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BE687" w14:textId="77777777" w:rsidR="00577ACE" w:rsidRDefault="00577ACE">
      <w:pPr>
        <w:spacing w:after="0"/>
        <w:jc w:val="center"/>
        <w:rPr>
          <w:rFonts w:ascii="Times New Roman" w:hAnsi="Times New Roman" w:cs="Times New Roman"/>
          <w:sz w:val="24"/>
          <w:szCs w:val="24"/>
          <w:lang w:val="zh-CN"/>
        </w:rPr>
      </w:pPr>
    </w:p>
    <w:p w14:paraId="06578A29" w14:textId="77777777" w:rsidR="00577ACE" w:rsidRDefault="00000000">
      <w:pPr>
        <w:spacing w:after="0"/>
        <w:jc w:val="center"/>
        <w:rPr>
          <w:rFonts w:ascii="Times New Roman" w:hAnsi="Times New Roman" w:cs="Times New Roman"/>
          <w:sz w:val="24"/>
          <w:szCs w:val="24"/>
          <w:lang w:val="en-US"/>
        </w:rPr>
      </w:pPr>
      <w:r>
        <w:rPr>
          <w:rFonts w:ascii="Times New Roman" w:hAnsi="Times New Roman" w:cs="Times New Roman"/>
          <w:sz w:val="24"/>
          <w:szCs w:val="24"/>
          <w:lang w:val="zh-CN"/>
        </w:rPr>
        <w:t xml:space="preserve"> </w:t>
      </w:r>
      <w:sdt>
        <w:sdtPr>
          <w:rPr>
            <w:rFonts w:ascii="Times New Roman" w:hAnsi="Times New Roman" w:cs="Times New Roman"/>
            <w:b/>
            <w:sz w:val="36"/>
            <w:szCs w:val="36"/>
            <w:lang w:val="en-US"/>
          </w:rPr>
          <w:alias w:val="docname"/>
          <w:tag w:val="text"/>
          <w:id w:val="5120000"/>
          <w:placeholder>
            <w:docPart w:val="DefaultPlaceholder_-1854013440"/>
          </w:placeholder>
        </w:sdtPr>
        <w:sdtContent>
          <w:r>
            <w:rPr>
              <w:rFonts w:ascii="Times New Roman" w:hAnsi="Times New Roman" w:cs="Times New Roman"/>
              <w:b/>
              <w:sz w:val="36"/>
              <w:szCs w:val="36"/>
              <w:lang w:val="zh-CN"/>
            </w:rPr>
            <w:t>"1903 Crisis: Kellogg's Pantheism Challenges Seventh-day Adventist Faith"</w:t>
          </w:r>
        </w:sdtContent>
      </w:sdt>
    </w:p>
    <w:p w14:paraId="675BF474" w14:textId="77777777" w:rsidR="00577ACE" w:rsidRDefault="00577ACE">
      <w:pPr>
        <w:spacing w:after="120"/>
        <w:rPr>
          <w:rFonts w:ascii="Times New Roman" w:hAnsi="Times New Roman" w:cs="Times New Roman"/>
          <w:sz w:val="24"/>
          <w:szCs w:val="24"/>
          <w:lang w:val="en-US"/>
        </w:rPr>
      </w:pPr>
    </w:p>
    <w:p w14:paraId="4DBDE165" w14:textId="77777777" w:rsidR="00577ACE" w:rsidRDefault="00000000">
      <w:pPr>
        <w:spacing w:after="0"/>
        <w:rPr>
          <w:rFonts w:ascii="Times New Roman" w:hAnsi="Times New Roman" w:cs="Times New Roman"/>
          <w:b/>
          <w:sz w:val="36"/>
          <w:szCs w:val="36"/>
          <w:lang w:val="zh-CN"/>
        </w:rPr>
      </w:pPr>
      <w:r>
        <w:rPr>
          <w:rFonts w:ascii="Times New Roman" w:hAnsi="Times New Roman" w:cs="Times New Roman"/>
          <w:sz w:val="24"/>
          <w:szCs w:val="24"/>
          <w:lang w:val="zh-CN"/>
        </w:rPr>
        <w:t xml:space="preserve"> </w:t>
      </w:r>
      <w:sdt>
        <w:sdtPr>
          <w:rPr>
            <w:rFonts w:ascii="Times New Roman" w:hAnsi="Times New Roman" w:cs="Times New Roman"/>
            <w:b/>
            <w:sz w:val="36"/>
            <w:szCs w:val="36"/>
            <w:lang w:val="en-US"/>
          </w:rPr>
          <w:alias w:val="content"/>
          <w:tag w:val="text"/>
          <w:id w:val="5120001"/>
          <w:placeholder>
            <w:docPart w:val="{e3c8364d-26b4-4c9f-90c0-f7f65300edc1}"/>
          </w:placeholder>
        </w:sdtPr>
        <w:sdtContent>
          <w:r>
            <w:rPr>
              <w:rFonts w:ascii="Times New Roman" w:eastAsiaTheme="minorEastAsia" w:hAnsi="Times New Roman" w:cs="Times New Roman" w:hint="eastAsia"/>
              <w:bCs/>
              <w:sz w:val="21"/>
              <w:szCs w:val="21"/>
              <w:lang w:val="zh-CN" w:eastAsia="zh-CN"/>
            </w:rPr>
            <w:t>📃 1903 Autumn Council Crisis: Kellogg’s The Living Temple, Ellen G. White’s Intervention, and the Church Saved from a Split</w:t>
            <w:br/>
            <w:t>🎯 Core Overview</w:t>
            <w:br/>
            <w:t>- Background/objective: In 1903 Dr. John Harvey Kellogg published The Living Temple, which introduced pantheistic ideas (claiming God personally dwells in the objects of nature). These views conflicted with Seventh‑day Adventist foundational beliefs (the “pillars” codified in the Fundamental Principles published 1872 and 1889) and began to influence other medical workers and leaders, threatening a major division in the church.</w:t>
            <w:br/>
            <w:t>- Overall conclusion/main finding: Ellen G. White’s timely vision and two strongly worded letters, received and read at the 1903 Autumn Council in Washington, D.C., publicly condemned the errors in The Living Temple, re‑centered the Assembly on the church’s distinguishing truths, and—according to contemporary accounts—averted a split in leadership and membership.</w:t>
            <w:br/>
            <w:t>📍 Key Details</w:t>
            <w:br/>
            <w:t>- The challenge (what Kellogg taught):- The Living Temple (1903) promoted pantheistic notions of God’s presence and personality—God as personally present in nature’s objects—and introduced speculative philosophies about God’s personhood and physical presence.</w:t>
            <w:br/>
            <w:t>- These ideas were spreading beyond Kellogg to other physicians and some church members, creating deep tensions among leaders.</w:t>
            <w:br/>
            <w:t>- Ellen G. White’s warnings and symbolism:- White reported a crisis vision: a ship steering into a towering iceberg (night scene), interpreted as an urgent divine command to “Meet it”—a call to confront doctrinal error immediately.</w:t>
            <w:br/>
            <w:t>- She wrote overnight and sent two major letters before the Council’s close; her messages were explicitly critical of the reasoning in The Living Temple and labeled those teachings “a snare” and “not born of heaven.”</w:t>
            <w:br/>
            <w:t>- The Autumn Council chronology and impact:- Autumn Council convened October 7, 1903, in Washington, D.C.; Kellogg arrived Sabbath morning, October 17.</w:t>
            <w:br/>
            <w:t>- Tensions culminated October 17–18 as leaders anticipated confrontation over pantheism.</w:t>
            <w:br/>
            <w:t>- Letters from White—one titled “Teach the Word” and another addressed to medical leaders—arrived the night before the Council’s final day and were read publicly the following morning.</w:t>
            <w:br/>
            <w:t>- Reactions: immediate, emotional affirmation—“many loud amens,” tears, grateful acknowledgment that a divine voice had spoken at the precise moment of crisis. Contemporary testimony (A.G. Daniels, Arthur L. White) describes the letters as decisive.</w:t>
            <w:br/>
            <w:t>- Representative quotations and explicit denials:- From Teach the Word: “Be careful how you sustain the sentiments of this book regarding the personality of God… These sentiments do not bear the endorsement of God… We need not the mysticism that is in this book.”</w:t>
            <w:br/>
            <w:t>- White cautioned that selectively quoting her writings to support Kellogg’s ideas was improper: statements taken out of context could seem to align, but they did not.</w:t>
            <w:br/>
            <w:t>- Outcome for Kellogg and the church:- The public reading and forceful condemnation humiliated Kellogg before his peers; contemporaries report he later stated he would remove the book from the market.</w:t>
            <w:br/>
            <w:t>- Leaders and a majority of attendees regarded the intervention as having prevented a fracture in church leadership and membership.</w:t>
            <w:br/>
            <w:t>- Documents and continuing threads:- The narrative points ahead to further correspondence (Letter 253, November 20, 1903), in which Ellen White responds to Kellogg and questions about the Trinity—indicating the controversy continued after the Council.</w:t>
            <w:br/>
            <w:t>🚀 Actions and Follow-up</w:t>
            <w:br/>
            <w:t>- Immediate archival/primary‑source review:- Action: Assemble primary documents for study (The Living Temple; Ellen G. White’s letters read at the Autumn Council—“Teach the Word” and the medical leaders’ letter; Council minutes; Letter 253, Nov. 20, 1903).</w:t>
            <w:br/>
            <w:t>- Responsible: Church archives/historical department or academic historians specializing in Adventist history.</w:t>
            <w:br/>
            <w:t>- Deadline suggestion: 3 months to gather, digitize, and annotate key documents.</w:t>
            <w:br/>
            <w:t>- Theological and historical analysis:- Action: Produce a concise analytic brief comparing Kellogg’s theological claims with the 1872/1889 Fundamental Principles and Ellen White’s counsels.</w:t>
            <w:br/>
            <w:t>- Responsible: A joint committee of theologians and historians (recommended: 2–3 scholars + archivist).</w:t>
            <w:br/>
            <w:t>- Deadline suggestion: 3–6 months after document compilation.</w:t>
            <w:br/>
            <w:t>- Communication and education:- Action: Prepare a summary for current leaders and for seminary curricula on the 1903 crisis, focusing on doctrinal boundaries, processes for addressing doctrinal deviation, and lessons about governance during crises.</w:t>
            <w:br/>
            <w:t>- Responsible: Education department/GC Office of Archives, Statistics, and Research.</w:t>
            <w:br/>
            <w:t>- Deadline suggestion: 6 months.</w:t>
            <w:br/>
            <w:t>- Risk/depends:- Dependency: Access to full archival corpus (letters, Council minutes, personal diaries). Risk: selective or partial sourcing can skew interpretation; ensure comprehensive sourcing.</w:t>
            <w:br/>
            <w:t>- Alert: The episode involves reputational sensitivities (Kellogg’s standing, interpretation of prophetic authority); handle with balanced scholarly tone and documentation.</w:t>
            <w:br/>
            <w:t>🎨 Additional Context &amp;amp; Unresolved Issues</w:t>
            <w:br/>
            <w:t>- Unresolved items in the provided text:- Specific content and aftermath of Kellogg’s purported withdrawal of The Living Temple from the market need documentary confirmation.</w:t>
            <w:br/>
            <w:t>- The later interactions (e.g., Kellogg’s Oct 29 conversation with A.G. Daniels and Letter 253, Nov. 20, 1903) are referenced but not summarized here—these are critical for understanding Kellogg’s subsequent strategy and the church’s follow‑up actions.</w:t>
            <w:br/>
            <w:t>- Broader institutional responses (formal disciplinary actions, if any) and long‑term effects on Adventist medical work and theology require further tracing.</w:t>
            <w:br/>
            <w:t>- Reference suggestions for deeper study:- Primary: The Living Temple (J.H. Kellogg); Ellen G. White letters and Testimonies; 1903 Autumn Council minutes; Letter 253 (Nov. 20, 1903).</w:t>
            <w:br/>
            <w:t>- Secondary: Contemporary histories of the Adventist church (studies on Kellogg controversy), biographies of Kellogg and Ellen G. White, and scholarly articles on Adventist doctrine and the development of the Fundamental Principles.</w:t>
            <w:br/>
            <w:t>If you want, I can: (A) list and locate exact archival sources and citations for the White letters and Council minutes; (B) draft the comparative brief summarizing the doctrinal conflicts between The Living Temple and the Fundamental Principles; or (C) prepare a short educational handout suitable for seminary students. Which would be most useful next?</w:t>
            <w:br/>
          </w:r>
        </w:sdtContent>
      </w:sdt>
    </w:p>
    <w:p w14:paraId="087CB364" w14:textId="77777777" w:rsidR="00577ACE" w:rsidRDefault="00577ACE">
      <w:pPr>
        <w:rPr>
          <w:rFonts w:ascii="Times New Roman" w:hAnsi="Times New Roman" w:cs="Times New Roman"/>
          <w:sz w:val="24"/>
          <w:szCs w:val="24"/>
          <w:lang w:val="en-US"/>
        </w:rPr>
      </w:pPr>
    </w:p>
    <w:p w14:paraId="32FAB2AF" w14:textId="77777777" w:rsidR="00577ACE" w:rsidRDefault="00577ACE">
      <w:pPr>
        <w:rPr>
          <w:rFonts w:ascii="Times New Roman" w:hAnsi="Times New Roman" w:cs="Times New Roman"/>
          <w:sz w:val="24"/>
          <w:szCs w:val="24"/>
          <w:lang w:val="en-US"/>
        </w:rPr>
      </w:pPr>
    </w:p>
    <w:p w14:paraId="56A5B59F" w14:textId="77777777" w:rsidR="00577ACE" w:rsidRDefault="00577ACE">
      <w:pPr>
        <w:rPr>
          <w:rStyle w:val="af"/>
          <w:lang w:val="zh-CN"/>
        </w:rPr>
      </w:pPr>
    </w:p>
    <w:p w14:paraId="2E356AA2" w14:textId="77777777" w:rsidR="00577ACE" w:rsidRDefault="00000000">
      <w:pPr>
        <w:tabs>
          <w:tab w:val="left" w:pos="6264"/>
        </w:tabs>
        <w:rPr>
          <w:rFonts w:ascii="Times New Roman" w:hAnsi="Times New Roman" w:cs="Times New Roman"/>
          <w:sz w:val="24"/>
          <w:szCs w:val="24"/>
          <w:lang w:val="en-US"/>
        </w:rPr>
      </w:pPr>
      <w:r>
        <w:rPr>
          <w:rFonts w:ascii="Times New Roman" w:hAnsi="Times New Roman" w:cs="Times New Roman"/>
          <w:sz w:val="24"/>
          <w:szCs w:val="24"/>
          <w:lang w:val="en-US"/>
        </w:rPr>
        <w:tab/>
      </w:r>
    </w:p>
    <w:sectPr w:rsidR="00577ACE">
      <w:headerReference w:type="even" r:id="rId7"/>
      <w:headerReference w:type="default" r:id="rId8"/>
      <w:footerReference w:type="even" r:id="rId9"/>
      <w:footerReference w:type="default" r:id="rId10"/>
      <w:headerReference w:type="first" r:id="rId11"/>
      <w:footerReference w:type="first" r:id="rId12"/>
      <w:pgSz w:w="11906" w:h="16838"/>
      <w:pgMar w:top="851" w:right="851" w:bottom="709" w:left="1134" w:header="0" w:footer="0"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C7774" w14:textId="77777777" w:rsidR="00AA12CB" w:rsidRDefault="00AA12CB">
      <w:pPr>
        <w:spacing w:line="240" w:lineRule="auto"/>
      </w:pPr>
      <w:r>
        <w:separator/>
      </w:r>
    </w:p>
  </w:endnote>
  <w:endnote w:type="continuationSeparator" w:id="0">
    <w:p w14:paraId="0C185726" w14:textId="77777777" w:rsidR="00AA12CB" w:rsidRDefault="00AA12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Symbol">
    <w:altName w:val="Times New Roman"/>
    <w:charset w:val="00"/>
    <w:family w:val="auto"/>
    <w:pitch w:val="default"/>
    <w:sig w:usb0="00000000" w:usb1="00000000" w:usb2="00000000" w:usb3="00000000" w:csb0="80000001" w:csb1="00000000"/>
  </w:font>
  <w:font w:name="Liberation Sans">
    <w:altName w:val="Arial"/>
    <w:charset w:val="00"/>
    <w:family w:val="swiss"/>
    <w:pitch w:val="default"/>
    <w:sig w:usb0="00000000" w:usb1="00000000" w:usb2="00000021" w:usb3="00000000" w:csb0="000001BF" w:csb1="00000000"/>
  </w:font>
  <w:font w:name="Noto Sans CJK SC Regular">
    <w:charset w:val="00"/>
    <w:family w:val="roman"/>
    <w:pitch w:val="default"/>
  </w:font>
  <w:font w:name="Noto Sans Devanagari">
    <w:altName w:val="Nirmala UI"/>
    <w:charset w:val="00"/>
    <w:family w:val="swiss"/>
    <w:pitch w:val="variable"/>
    <w:sig w:usb0="80008023" w:usb1="00002046" w:usb2="00000000" w:usb3="00000000" w:csb0="00000001" w:csb1="00000000"/>
  </w:font>
  <w:font w:name="微软雅黑">
    <w:altName w:val="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C8FBD" w14:textId="77777777" w:rsidR="00A02102" w:rsidRDefault="00A0210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lang w:val="zh-CN"/>
      </w:rPr>
      <w:alias w:val="footer"/>
      <w:tag w:val="text"/>
      <w:id w:val="5120002"/>
      <w:placeholder>
        <w:docPart w:val="DefaultPlaceholder_-1854013440"/>
      </w:placeholder>
    </w:sdtPr>
    <w:sdtContent>
      <w:p w14:paraId="5B583670" w14:textId="77777777" w:rsidR="00577ACE" w:rsidRDefault="00000000">
        <w:pPr>
          <w:pStyle w:val="a6"/>
          <w:rPr>
            <w:lang w:val="zh-CN"/>
          </w:rPr>
        </w:pPr>
        <w:r>
          <w:rPr>
            <w:lang w:val="zh-CN"/>
          </w:rPr>
          <w:t>Footer</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715D6" w14:textId="77777777" w:rsidR="00A02102" w:rsidRDefault="00A0210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1D18A" w14:textId="77777777" w:rsidR="00AA12CB" w:rsidRDefault="00AA12CB">
      <w:pPr>
        <w:spacing w:after="0"/>
      </w:pPr>
      <w:r>
        <w:separator/>
      </w:r>
    </w:p>
  </w:footnote>
  <w:footnote w:type="continuationSeparator" w:id="0">
    <w:p w14:paraId="79D95393" w14:textId="77777777" w:rsidR="00AA12CB" w:rsidRDefault="00AA12C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43E2C" w14:textId="77777777" w:rsidR="00A02102" w:rsidRDefault="00A02102">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2771E" w14:textId="77777777" w:rsidR="00577ACE" w:rsidRPr="00A02102" w:rsidRDefault="00577ACE">
    <w:pPr>
      <w:pStyle w:val="a8"/>
      <w:tabs>
        <w:tab w:val="clear" w:pos="4536"/>
        <w:tab w:val="clear" w:pos="9072"/>
        <w:tab w:val="left" w:pos="2064"/>
      </w:tabs>
      <w:rPr>
        <w:rFonts w:eastAsiaTheme="minorEastAsia" w:hint="eastAsia"/>
        <w:lang w:val="zh-CN"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B2F75" w14:textId="77777777" w:rsidR="00A02102" w:rsidRDefault="00A02102">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467"/>
    <w:rsid w:val="00072CF8"/>
    <w:rsid w:val="000B2874"/>
    <w:rsid w:val="000C16E0"/>
    <w:rsid w:val="000D240E"/>
    <w:rsid w:val="00120020"/>
    <w:rsid w:val="00121545"/>
    <w:rsid w:val="00180DA2"/>
    <w:rsid w:val="001A4396"/>
    <w:rsid w:val="001B7247"/>
    <w:rsid w:val="001B7DB8"/>
    <w:rsid w:val="001C2301"/>
    <w:rsid w:val="001F4D4B"/>
    <w:rsid w:val="0024020D"/>
    <w:rsid w:val="00273EE2"/>
    <w:rsid w:val="00277C58"/>
    <w:rsid w:val="002A202C"/>
    <w:rsid w:val="002D38DA"/>
    <w:rsid w:val="002E2E31"/>
    <w:rsid w:val="00331037"/>
    <w:rsid w:val="00343EEB"/>
    <w:rsid w:val="00366A14"/>
    <w:rsid w:val="00374AA6"/>
    <w:rsid w:val="00404365"/>
    <w:rsid w:val="00407045"/>
    <w:rsid w:val="004147B7"/>
    <w:rsid w:val="00456251"/>
    <w:rsid w:val="00472467"/>
    <w:rsid w:val="00491E1F"/>
    <w:rsid w:val="004C75A5"/>
    <w:rsid w:val="00502A89"/>
    <w:rsid w:val="00525B04"/>
    <w:rsid w:val="00526662"/>
    <w:rsid w:val="0055772E"/>
    <w:rsid w:val="00561552"/>
    <w:rsid w:val="00570251"/>
    <w:rsid w:val="00570911"/>
    <w:rsid w:val="00577ACE"/>
    <w:rsid w:val="00587243"/>
    <w:rsid w:val="005B6969"/>
    <w:rsid w:val="005E061B"/>
    <w:rsid w:val="005E3857"/>
    <w:rsid w:val="005E3BDA"/>
    <w:rsid w:val="005F6214"/>
    <w:rsid w:val="006038C5"/>
    <w:rsid w:val="00613BB9"/>
    <w:rsid w:val="00630ED7"/>
    <w:rsid w:val="0063672A"/>
    <w:rsid w:val="006A69CA"/>
    <w:rsid w:val="006E192D"/>
    <w:rsid w:val="006E4DD8"/>
    <w:rsid w:val="00712CAA"/>
    <w:rsid w:val="00726889"/>
    <w:rsid w:val="007411B4"/>
    <w:rsid w:val="00786C67"/>
    <w:rsid w:val="007B327E"/>
    <w:rsid w:val="007C4903"/>
    <w:rsid w:val="007F7401"/>
    <w:rsid w:val="00800635"/>
    <w:rsid w:val="00812C94"/>
    <w:rsid w:val="00823561"/>
    <w:rsid w:val="00845246"/>
    <w:rsid w:val="008527E7"/>
    <w:rsid w:val="008700D3"/>
    <w:rsid w:val="00881DF9"/>
    <w:rsid w:val="0089767D"/>
    <w:rsid w:val="008A711D"/>
    <w:rsid w:val="008C1214"/>
    <w:rsid w:val="008D0D60"/>
    <w:rsid w:val="008F6659"/>
    <w:rsid w:val="0090026D"/>
    <w:rsid w:val="00900BD7"/>
    <w:rsid w:val="00916091"/>
    <w:rsid w:val="00916B78"/>
    <w:rsid w:val="00957E36"/>
    <w:rsid w:val="00973632"/>
    <w:rsid w:val="0097528E"/>
    <w:rsid w:val="009A2ED3"/>
    <w:rsid w:val="009A3D22"/>
    <w:rsid w:val="009B6CA0"/>
    <w:rsid w:val="009D1AED"/>
    <w:rsid w:val="00A02102"/>
    <w:rsid w:val="00A12583"/>
    <w:rsid w:val="00AA12CB"/>
    <w:rsid w:val="00B06343"/>
    <w:rsid w:val="00B31DA1"/>
    <w:rsid w:val="00B32996"/>
    <w:rsid w:val="00B342BB"/>
    <w:rsid w:val="00B638A4"/>
    <w:rsid w:val="00BB0C28"/>
    <w:rsid w:val="00BB7676"/>
    <w:rsid w:val="00BC754C"/>
    <w:rsid w:val="00C44B78"/>
    <w:rsid w:val="00C507E5"/>
    <w:rsid w:val="00C61C4E"/>
    <w:rsid w:val="00C67F0C"/>
    <w:rsid w:val="00CA3036"/>
    <w:rsid w:val="00D07348"/>
    <w:rsid w:val="00D42A07"/>
    <w:rsid w:val="00D47EC5"/>
    <w:rsid w:val="00D865A8"/>
    <w:rsid w:val="00DA1AEB"/>
    <w:rsid w:val="00DB3068"/>
    <w:rsid w:val="00DC160A"/>
    <w:rsid w:val="00DC6879"/>
    <w:rsid w:val="00E93CFF"/>
    <w:rsid w:val="00EE6781"/>
    <w:rsid w:val="00EF36CF"/>
    <w:rsid w:val="00F46349"/>
    <w:rsid w:val="00F54444"/>
    <w:rsid w:val="00FA2DCD"/>
    <w:rsid w:val="00FB5945"/>
    <w:rsid w:val="00FB59CB"/>
    <w:rsid w:val="00FD6025"/>
    <w:rsid w:val="00FD7A24"/>
    <w:rsid w:val="062262D9"/>
    <w:rsid w:val="79D54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443230"/>
  <w15:docId w15:val="{DA72C532-16FA-43B2-9436-DF14B0CED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rFonts w:eastAsiaTheme="minorHAnsi"/>
      <w:sz w:val="22"/>
      <w:szCs w:val="22"/>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40"/>
    </w:pPr>
  </w:style>
  <w:style w:type="paragraph" w:styleId="a4">
    <w:name w:val="Balloon Text"/>
    <w:basedOn w:val="a"/>
    <w:link w:val="a5"/>
    <w:uiPriority w:val="99"/>
    <w:semiHidden/>
    <w:unhideWhenUsed/>
    <w:qFormat/>
    <w:pPr>
      <w:spacing w:after="0" w:line="240" w:lineRule="auto"/>
    </w:pPr>
    <w:rPr>
      <w:rFonts w:ascii="Tahoma" w:hAnsi="Tahoma" w:cs="Tahoma"/>
      <w:sz w:val="16"/>
      <w:szCs w:val="16"/>
    </w:rPr>
  </w:style>
  <w:style w:type="paragraph" w:styleId="a6">
    <w:name w:val="footer"/>
    <w:basedOn w:val="a"/>
    <w:link w:val="a7"/>
    <w:uiPriority w:val="99"/>
    <w:unhideWhenUsed/>
    <w:qFormat/>
    <w:pPr>
      <w:tabs>
        <w:tab w:val="center" w:pos="4536"/>
        <w:tab w:val="right" w:pos="9072"/>
      </w:tabs>
      <w:spacing w:after="0" w:line="240" w:lineRule="auto"/>
    </w:pPr>
  </w:style>
  <w:style w:type="paragraph" w:styleId="a8">
    <w:name w:val="header"/>
    <w:basedOn w:val="a"/>
    <w:link w:val="a9"/>
    <w:uiPriority w:val="99"/>
    <w:unhideWhenUsed/>
    <w:qFormat/>
    <w:pPr>
      <w:tabs>
        <w:tab w:val="center" w:pos="4536"/>
        <w:tab w:val="right" w:pos="9072"/>
      </w:tabs>
      <w:spacing w:after="0" w:line="240" w:lineRule="auto"/>
    </w:pPr>
  </w:style>
  <w:style w:type="paragraph" w:styleId="aa">
    <w:name w:val="List"/>
    <w:basedOn w:val="a3"/>
    <w:qFormat/>
    <w:rPr>
      <w:rFonts w:cs="Arial"/>
    </w:rPr>
  </w:style>
  <w:style w:type="paragraph" w:styleId="ab">
    <w:name w:val="Normal (Web)"/>
    <w:basedOn w:val="a"/>
    <w:unhideWhenUsed/>
    <w:qFormat/>
    <w:pPr>
      <w:spacing w:beforeAutospacing="1" w:after="119" w:line="240" w:lineRule="auto"/>
    </w:pPr>
    <w:rPr>
      <w:rFonts w:ascii="Times New Roman" w:eastAsia="Times New Roman" w:hAnsi="Times New Roman" w:cs="Times New Roman"/>
      <w:sz w:val="24"/>
      <w:szCs w:val="24"/>
      <w:lang w:eastAsia="ru-RU"/>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uiPriority w:val="22"/>
    <w:qFormat/>
    <w:rPr>
      <w:b/>
      <w:bCs/>
    </w:rPr>
  </w:style>
  <w:style w:type="character" w:styleId="ae">
    <w:name w:val="FollowedHyperlink"/>
    <w:basedOn w:val="a0"/>
    <w:uiPriority w:val="99"/>
    <w:semiHidden/>
    <w:unhideWhenUsed/>
    <w:qFormat/>
    <w:rPr>
      <w:color w:val="800080" w:themeColor="followedHyperlink"/>
      <w:u w:val="single"/>
    </w:rPr>
  </w:style>
  <w:style w:type="character" w:styleId="af">
    <w:name w:val="Hyperlink"/>
    <w:basedOn w:val="a0"/>
    <w:uiPriority w:val="99"/>
    <w:semiHidden/>
    <w:unhideWhenUsed/>
    <w:qFormat/>
    <w:rPr>
      <w:color w:val="0000FF" w:themeColor="hyperlink"/>
      <w:u w:val="single"/>
    </w:rPr>
  </w:style>
  <w:style w:type="character" w:customStyle="1" w:styleId="html-tag">
    <w:name w:val="html-tag"/>
    <w:basedOn w:val="a0"/>
    <w:qFormat/>
  </w:style>
  <w:style w:type="character" w:customStyle="1" w:styleId="af0">
    <w:name w:val="Абзац списка Знак"/>
    <w:uiPriority w:val="34"/>
    <w:qFormat/>
    <w:locked/>
  </w:style>
  <w:style w:type="character" w:customStyle="1" w:styleId="-">
    <w:name w:val="Интернет-ссылка"/>
    <w:uiPriority w:val="99"/>
    <w:qFormat/>
    <w:rPr>
      <w:rFonts w:cs="Times New Roman"/>
      <w:color w:val="0000FF"/>
      <w:u w:val="single"/>
    </w:rPr>
  </w:style>
  <w:style w:type="character" w:customStyle="1" w:styleId="Placeholder">
    <w:name w:val="Placeholder"/>
    <w:qFormat/>
    <w:rPr>
      <w:smallCaps/>
      <w:color w:val="008080"/>
      <w:u w:val="dotted"/>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a"/>
    <w:next w:val="a3"/>
    <w:qFormat/>
    <w:pPr>
      <w:keepNext/>
      <w:spacing w:before="240" w:after="120"/>
    </w:pPr>
    <w:rPr>
      <w:rFonts w:ascii="Liberation Sans" w:eastAsia="Noto Sans CJK SC Regular" w:hAnsi="Liberation Sans" w:cs="Noto Sans Devanagari"/>
      <w:sz w:val="28"/>
      <w:szCs w:val="28"/>
    </w:rPr>
  </w:style>
  <w:style w:type="paragraph" w:customStyle="1" w:styleId="1">
    <w:name w:val="Название объекта1"/>
    <w:basedOn w:val="a"/>
    <w:qFormat/>
    <w:pPr>
      <w:suppressLineNumbers/>
      <w:spacing w:before="120" w:after="120"/>
    </w:pPr>
    <w:rPr>
      <w:rFonts w:cs="Arial"/>
      <w:i/>
      <w:iCs/>
      <w:sz w:val="24"/>
      <w:szCs w:val="24"/>
    </w:rPr>
  </w:style>
  <w:style w:type="paragraph" w:customStyle="1" w:styleId="Index">
    <w:name w:val="Index"/>
    <w:basedOn w:val="a"/>
    <w:qFormat/>
    <w:pPr>
      <w:suppressLineNumbers/>
    </w:pPr>
    <w:rPr>
      <w:rFonts w:cs="Noto Sans Devanagari"/>
    </w:rPr>
  </w:style>
  <w:style w:type="paragraph" w:customStyle="1" w:styleId="10">
    <w:name w:val="Заголовок1"/>
    <w:basedOn w:val="a"/>
    <w:next w:val="a3"/>
    <w:qFormat/>
    <w:pPr>
      <w:keepNext/>
      <w:spacing w:before="240" w:after="120"/>
    </w:pPr>
    <w:rPr>
      <w:rFonts w:ascii="Liberation Sans" w:eastAsia="微软雅黑" w:hAnsi="Liberation Sans" w:cs="Arial"/>
      <w:sz w:val="28"/>
      <w:szCs w:val="28"/>
    </w:rPr>
  </w:style>
  <w:style w:type="paragraph" w:customStyle="1" w:styleId="11">
    <w:name w:val="Указатель1"/>
    <w:basedOn w:val="a"/>
    <w:qFormat/>
    <w:pPr>
      <w:suppressLineNumbers/>
    </w:pPr>
    <w:rPr>
      <w:rFonts w:cs="Arial"/>
    </w:rPr>
  </w:style>
  <w:style w:type="paragraph" w:styleId="af1">
    <w:name w:val="List Paragraph"/>
    <w:basedOn w:val="a"/>
    <w:uiPriority w:val="34"/>
    <w:qFormat/>
    <w:pPr>
      <w:ind w:left="720"/>
      <w:contextualSpacing/>
    </w:p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character" w:styleId="af2">
    <w:name w:val="Placeholder Text"/>
    <w:basedOn w:val="a0"/>
    <w:uiPriority w:val="99"/>
    <w:semiHidden/>
    <w:qFormat/>
    <w:rPr>
      <w:color w:val="808080"/>
    </w:rPr>
  </w:style>
  <w:style w:type="character" w:customStyle="1" w:styleId="a5">
    <w:name w:val="批注框文本 字符"/>
    <w:basedOn w:val="a0"/>
    <w:link w:val="a4"/>
    <w:uiPriority w:val="99"/>
    <w:semiHidden/>
    <w:qFormat/>
    <w:rPr>
      <w:rFonts w:ascii="Tahoma" w:hAnsi="Tahoma" w:cs="Tahoma"/>
      <w:sz w:val="16"/>
      <w:szCs w:val="16"/>
    </w:rPr>
  </w:style>
  <w:style w:type="character" w:customStyle="1" w:styleId="a9">
    <w:name w:val="页眉 字符"/>
    <w:basedOn w:val="a0"/>
    <w:link w:val="a8"/>
    <w:uiPriority w:val="99"/>
    <w:qFormat/>
    <w:rPr>
      <w:sz w:val="22"/>
    </w:rPr>
  </w:style>
  <w:style w:type="character" w:customStyle="1" w:styleId="a7">
    <w:name w:val="页脚 字符"/>
    <w:basedOn w:val="a0"/>
    <w:link w:val="a6"/>
    <w:uiPriority w:val="99"/>
    <w:qFormat/>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Общие"/>
          <w:gallery w:val="placeholder"/>
        </w:category>
        <w:types>
          <w:type w:val="bbPlcHdr"/>
        </w:types>
        <w:behaviors>
          <w:behavior w:val="content"/>
        </w:behaviors>
        <w:guid w:val="{0C598D47-F1F8-4D85-8999-C6E8265D3612}"/>
      </w:docPartPr>
      <w:docPartBody>
        <w:p w:rsidR="00583D24" w:rsidRDefault="00000000">
          <w:pPr>
            <w:rPr>
              <w:rFonts w:hint="eastAsia"/>
            </w:rPr>
          </w:pPr>
          <w:r>
            <w:rPr>
              <w:rStyle w:val="a3"/>
            </w:rPr>
            <w:t>Место для ввода текста.</w:t>
          </w:r>
        </w:p>
      </w:docPartBody>
    </w:docPart>
    <w:docPart>
      <w:docPartPr>
        <w:name w:val="{e3c8364d-26b4-4c9f-90c0-f7f65300edc1}"/>
        <w:category>
          <w:name w:val="Общие"/>
          <w:gallery w:val="placeholder"/>
        </w:category>
        <w:types>
          <w:type w:val="bbPlcHdr"/>
        </w:types>
        <w:behaviors>
          <w:behavior w:val="content"/>
        </w:behaviors>
        <w:guid w:val="{E3C8364D-26B4-4C9F-90C0-F7F65300EDC1}"/>
      </w:docPartPr>
      <w:docPartBody>
        <w:p w:rsidR="00583D24" w:rsidRDefault="00000000">
          <w:pPr>
            <w:rPr>
              <w:rFonts w:hint="eastAsia"/>
            </w:rPr>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Symbol">
    <w:altName w:val="Times New Roman"/>
    <w:charset w:val="00"/>
    <w:family w:val="auto"/>
    <w:pitch w:val="default"/>
    <w:sig w:usb0="00000000" w:usb1="00000000" w:usb2="00000000" w:usb3="00000000" w:csb0="80000001" w:csb1="00000000"/>
  </w:font>
  <w:font w:name="Liberation Sans">
    <w:altName w:val="Arial"/>
    <w:charset w:val="00"/>
    <w:family w:val="swiss"/>
    <w:pitch w:val="default"/>
    <w:sig w:usb0="00000000" w:usb1="00000000" w:usb2="00000021" w:usb3="00000000" w:csb0="000001BF" w:csb1="00000000"/>
  </w:font>
  <w:font w:name="Noto Sans CJK SC Regular">
    <w:charset w:val="00"/>
    <w:family w:val="roman"/>
    <w:pitch w:val="default"/>
  </w:font>
  <w:font w:name="Noto Sans Devanagari">
    <w:altName w:val="Nirmala UI"/>
    <w:charset w:val="00"/>
    <w:family w:val="swiss"/>
    <w:pitch w:val="variable"/>
    <w:sig w:usb0="80008023" w:usb1="00002046" w:usb2="00000000" w:usb3="00000000" w:csb0="00000001" w:csb1="00000000"/>
  </w:font>
  <w:font w:name="微软雅黑">
    <w:altName w:val="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50470" w:rsidRDefault="00C50470">
      <w:pPr>
        <w:spacing w:after="0"/>
        <w:rPr>
          <w:rFonts w:hint="eastAsia"/>
        </w:rPr>
      </w:pPr>
      <w:r>
        <w:separator/>
      </w:r>
    </w:p>
  </w:footnote>
  <w:footnote w:type="continuationSeparator" w:id="0">
    <w:p w:rsidR="00C50470" w:rsidRDefault="00C50470">
      <w:pPr>
        <w:spacing w:after="0"/>
        <w:rPr>
          <w:rFonts w:hint="eastAsia"/>
        </w:rPr>
      </w:pPr>
      <w:r>
        <w:continuationSeparator/>
      </w:r>
    </w:p>
  </w:footnote>
</w:footnote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szCs w:val="22"/>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AF8424-A94F-4681-9BC5-EE1D80F35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Words>
  <Characters>31</Characters>
  <Application>Microsoft Office Word</Application>
  <DocSecurity>0</DocSecurity>
  <Lines>15</Lines>
  <Paragraphs>3</Paragraphs>
  <ScaleCrop>false</ScaleCrop>
  <Company>Reanimator Extreme Edition</Company>
  <LinksUpToDate>false</LinksUpToDate>
  <CharactersWithSpaces>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dc:creator>
  <cp:lastModifiedBy>kevin kevin</cp:lastModifiedBy>
  <cp:revision>158</cp:revision>
  <cp:lastPrinted>2017-06-01T11:07:00Z</cp:lastPrinted>
  <dcterms:created xsi:type="dcterms:W3CDTF">2019-05-29T09:44:00Z</dcterms:created>
  <dcterms:modified xsi:type="dcterms:W3CDTF">2025-06-04T06:46:00Z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Reanimator Extreme Edition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KSOTemplateDocerSaveRecord">
    <vt:lpwstr>eyJoZGlkIjoiNmQzMTcwN2RlZmUwODk0ZjdhNDE4ODE3MWVhNWI4YzgiLCJ1c2VySWQiOiIxNjQxMDUxMjM2In0=</vt:lpwstr>
  </property>
  <property fmtid="{D5CDD505-2E9C-101B-9397-08002B2CF9AE}" pid="10" name="KSOProductBuildVer">
    <vt:lpwstr>2052-12.1.0.20305</vt:lpwstr>
  </property>
  <property fmtid="{D5CDD505-2E9C-101B-9397-08002B2CF9AE}" pid="11" name="ICV">
    <vt:lpwstr>46AEE13C1578464680E567C9B16A1D90_12</vt:lpwstr>
  </property>
</Properties>
</file>